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028C4839" wp14:editId="5ABB6A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46" w:rsidRPr="00366049" w:rsidRDefault="00FA1546">
      <w:pPr>
        <w:pStyle w:val="a3"/>
        <w:rPr>
          <w:noProof/>
          <w:color w:val="FFC000"/>
          <w:lang w:bidi="ar-SA"/>
        </w:rPr>
      </w:pPr>
    </w:p>
    <w:p w:rsidR="00A92D62" w:rsidRPr="00366049" w:rsidRDefault="00A92D62">
      <w:pPr>
        <w:pStyle w:val="a3"/>
        <w:rPr>
          <w:noProof/>
          <w:color w:val="FFC000"/>
          <w:lang w:bidi="ar-SA"/>
        </w:rPr>
      </w:pPr>
    </w:p>
    <w:p w:rsidR="00366049" w:rsidRDefault="00366049" w:rsidP="00B96BD0">
      <w:pPr>
        <w:rPr>
          <w:b/>
          <w:color w:val="002060"/>
          <w:sz w:val="36"/>
          <w:szCs w:val="3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:rsidR="00CF6540" w:rsidRPr="00C70211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 w:rsidR="00BC6BDC">
        <w:rPr>
          <w:rFonts w:cs="Times New Roman"/>
          <w:b/>
          <w:bCs/>
        </w:rPr>
        <w:t>Душевой поддон</w:t>
      </w:r>
      <w:r>
        <w:rPr>
          <w:rFonts w:cs="Times New Roman"/>
          <w:b/>
          <w:bCs/>
        </w:rPr>
        <w:t xml:space="preserve"> «</w:t>
      </w:r>
      <w:r w:rsidR="00BC6BDC">
        <w:rPr>
          <w:rFonts w:cs="Times New Roman"/>
          <w:b/>
          <w:bCs/>
          <w:lang w:val="en-US"/>
        </w:rPr>
        <w:t>CAPRI</w:t>
      </w:r>
      <w:r>
        <w:rPr>
          <w:rFonts w:cs="Times New Roman"/>
          <w:b/>
          <w:bCs/>
        </w:rPr>
        <w:t>»</w:t>
      </w: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BC6BDC" w:rsidRPr="00802DCE" w:rsidRDefault="00BC6BDC" w:rsidP="00BC6BDC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по эксплуатации поддона душевого </w:t>
      </w:r>
      <w:r>
        <w:rPr>
          <w:rFonts w:cs="Times New Roman"/>
          <w:b/>
          <w:bCs/>
          <w:sz w:val="16"/>
          <w:szCs w:val="16"/>
          <w:lang w:val="en-US"/>
        </w:rPr>
        <w:t>CAPRI</w:t>
      </w:r>
      <w:r w:rsidRPr="00802DCE">
        <w:rPr>
          <w:rFonts w:cs="Times New Roman"/>
          <w:b/>
          <w:bCs/>
          <w:sz w:val="16"/>
          <w:szCs w:val="16"/>
        </w:rPr>
        <w:t>, из минерального камня, предназначенного для установки в санитарно-бытовых помещениях, общественных и производственных зданиях.</w:t>
      </w:r>
    </w:p>
    <w:p w:rsidR="00BC6BDC" w:rsidRPr="00802DCE" w:rsidRDefault="00BC6BDC" w:rsidP="00BC6BDC">
      <w:pPr>
        <w:pStyle w:val="Standard"/>
        <w:rPr>
          <w:rFonts w:cs="Times New Roman"/>
          <w:sz w:val="16"/>
          <w:szCs w:val="16"/>
        </w:rPr>
      </w:pPr>
    </w:p>
    <w:p w:rsidR="00BC6BDC" w:rsidRPr="00802DCE" w:rsidRDefault="00BC6BDC" w:rsidP="00BC6BDC">
      <w:pPr>
        <w:pStyle w:val="Standard"/>
        <w:jc w:val="center"/>
        <w:rPr>
          <w:rFonts w:cs="Times New Roman"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>1 НАЗНАЧЕНИЕ ИЗДЕЛИЯ</w:t>
      </w:r>
    </w:p>
    <w:p w:rsidR="00BC6BDC" w:rsidRPr="00802DCE" w:rsidRDefault="00BC6BDC" w:rsidP="00BC6BDC">
      <w:pPr>
        <w:pStyle w:val="Standard"/>
        <w:jc w:val="both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>1.1. Поддон, душевой, в последующем тексте именуемый «поддон» предназначен для купания в пресной воде и устанавливается в зданиях</w:t>
      </w:r>
      <w:r w:rsidR="00D42C3D">
        <w:rPr>
          <w:rFonts w:cs="Times New Roman"/>
          <w:sz w:val="16"/>
          <w:szCs w:val="16"/>
        </w:rPr>
        <w:t xml:space="preserve">, </w:t>
      </w:r>
      <w:r w:rsidRPr="00802DCE">
        <w:rPr>
          <w:rFonts w:cs="Times New Roman"/>
          <w:sz w:val="16"/>
          <w:szCs w:val="16"/>
        </w:rPr>
        <w:t>оборудованных водопроводом и канализацией.</w:t>
      </w:r>
    </w:p>
    <w:p w:rsidR="00BC6BDC" w:rsidRPr="00802DCE" w:rsidRDefault="00BC6BDC" w:rsidP="00BC6BDC">
      <w:pPr>
        <w:pStyle w:val="Standard"/>
        <w:rPr>
          <w:rFonts w:cs="Times New Roman"/>
          <w:sz w:val="16"/>
          <w:szCs w:val="16"/>
        </w:rPr>
      </w:pPr>
    </w:p>
    <w:p w:rsidR="00BC6BDC" w:rsidRPr="00802DCE" w:rsidRDefault="00BC6BDC" w:rsidP="00BC6BDC">
      <w:pPr>
        <w:pStyle w:val="Standard"/>
        <w:jc w:val="center"/>
        <w:rPr>
          <w:rFonts w:cs="Times New Roman"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>2 ТЕХНИЧЕСКИЕ ХАРАКТЕРИСТИКИ</w:t>
      </w:r>
    </w:p>
    <w:p w:rsidR="00BC6BDC" w:rsidRPr="00802DCE" w:rsidRDefault="00D42C3D" w:rsidP="00BC6BDC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2.1. Тип ПД</w:t>
      </w:r>
      <w:r w:rsidR="00BC6BDC" w:rsidRPr="00802DCE">
        <w:rPr>
          <w:rFonts w:cs="Times New Roman"/>
          <w:sz w:val="16"/>
          <w:szCs w:val="16"/>
        </w:rPr>
        <w:t xml:space="preserve"> из минерального камня</w:t>
      </w:r>
    </w:p>
    <w:p w:rsidR="00BC6BDC" w:rsidRPr="00802DCE" w:rsidRDefault="00BC6BDC" w:rsidP="00BC6BDC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>2.2. Основные параметры поддона: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720"/>
        <w:gridCol w:w="3140"/>
        <w:gridCol w:w="1660"/>
        <w:gridCol w:w="1660"/>
        <w:gridCol w:w="2361"/>
      </w:tblGrid>
      <w:tr w:rsidR="00BC6BDC" w:rsidRPr="00802DCE" w:rsidTr="009675C5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6BDC" w:rsidRPr="00802DCE" w:rsidRDefault="00BC6BDC" w:rsidP="00863EE2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6BDC" w:rsidRPr="00802DCE" w:rsidRDefault="00BC6BDC" w:rsidP="00863EE2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6BDC" w:rsidRPr="00802DCE" w:rsidRDefault="00BC6BDC" w:rsidP="00863EE2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Длина, м</w:t>
            </w: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6BDC" w:rsidRPr="00802DCE" w:rsidRDefault="00BC6BDC" w:rsidP="00863EE2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Ширина, м</w:t>
            </w: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м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6BDC" w:rsidRPr="00802DCE" w:rsidRDefault="00BC6BDC" w:rsidP="00863EE2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BC6BDC" w:rsidRPr="00802DCE" w:rsidTr="009675C5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DC" w:rsidRPr="00802DCE" w:rsidRDefault="00BC6BDC" w:rsidP="00863EE2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DC" w:rsidRPr="00D42C3D" w:rsidRDefault="00BC6BDC" w:rsidP="00D42C3D">
            <w:pPr>
              <w:widowControl/>
              <w:autoSpaceDN/>
              <w:rPr>
                <w:i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iCs/>
                <w:color w:val="000000"/>
                <w:sz w:val="16"/>
                <w:szCs w:val="16"/>
                <w:lang w:bidi="ar-SA"/>
              </w:rPr>
              <w:t xml:space="preserve">Душевой поддон 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CAPRI</w:t>
            </w:r>
            <w:r w:rsidRPr="00D42C3D">
              <w:rPr>
                <w:iCs/>
                <w:color w:val="000000"/>
                <w:sz w:val="16"/>
                <w:szCs w:val="16"/>
                <w:lang w:bidi="ar-SA"/>
              </w:rPr>
              <w:t xml:space="preserve"> </w:t>
            </w:r>
            <w:r w:rsidR="00D42C3D" w:rsidRPr="00D42C3D">
              <w:rPr>
                <w:iCs/>
                <w:color w:val="000000"/>
                <w:sz w:val="16"/>
                <w:szCs w:val="16"/>
                <w:lang w:bidi="ar-SA"/>
              </w:rPr>
              <w:t>из минерального камня с декоративной крышкой слива без сифона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DC" w:rsidRPr="00802DCE" w:rsidRDefault="00BC6BDC" w:rsidP="00863EE2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1500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DC" w:rsidRPr="00802DCE" w:rsidRDefault="00BC6BDC" w:rsidP="00863EE2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800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BDC" w:rsidRPr="008324BD" w:rsidRDefault="00BC6BDC" w:rsidP="00863EE2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bookmarkStart w:id="0" w:name="_GoBack"/>
            <w:bookmarkEnd w:id="0"/>
          </w:p>
        </w:tc>
      </w:tr>
    </w:tbl>
    <w:p w:rsidR="00BC6BDC" w:rsidRPr="00802DCE" w:rsidRDefault="00BC6BDC" w:rsidP="00BC6BDC">
      <w:pPr>
        <w:pStyle w:val="Standard"/>
        <w:rPr>
          <w:rFonts w:cs="Times New Roman"/>
          <w:sz w:val="16"/>
          <w:szCs w:val="16"/>
          <w:lang w:val="en-US"/>
        </w:rPr>
      </w:pPr>
    </w:p>
    <w:p w:rsidR="00BC6BDC" w:rsidRPr="00802DCE" w:rsidRDefault="00BC6BDC" w:rsidP="00BC6BDC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>2.4. Параметры эксплуатации: температура воды и неагрессивных жидкостей, 90 +/- 5 С.</w:t>
      </w:r>
    </w:p>
    <w:p w:rsidR="00BC6BDC" w:rsidRPr="00802DCE" w:rsidRDefault="00BC6BDC" w:rsidP="00BC6BDC">
      <w:pPr>
        <w:pStyle w:val="Standard"/>
        <w:rPr>
          <w:rFonts w:cs="Times New Roman"/>
          <w:sz w:val="16"/>
          <w:szCs w:val="16"/>
        </w:rPr>
      </w:pPr>
    </w:p>
    <w:p w:rsidR="00BC6BDC" w:rsidRPr="00802DCE" w:rsidRDefault="00BC6BDC" w:rsidP="00BC6BDC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>3 КОМПЛЕКТНОСТЬ</w:t>
      </w:r>
    </w:p>
    <w:p w:rsidR="00BC6BDC" w:rsidRPr="00802DCE" w:rsidRDefault="00BC6BDC" w:rsidP="00BC6BDC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3.1. В комплект поставки входят:                       </w:t>
      </w:r>
    </w:p>
    <w:p w:rsidR="00BC6BDC" w:rsidRPr="00802DCE" w:rsidRDefault="00BC6BDC" w:rsidP="00BC6BDC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>- поддон душевой, шт.                                                                                                                                                             1 шт</w:t>
      </w:r>
      <w:r>
        <w:rPr>
          <w:rFonts w:cs="Times New Roman"/>
          <w:sz w:val="16"/>
          <w:szCs w:val="16"/>
        </w:rPr>
        <w:t>.</w:t>
      </w:r>
    </w:p>
    <w:p w:rsidR="00BC6BDC" w:rsidRDefault="00BC6BDC" w:rsidP="00BC6BDC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>- п</w:t>
      </w:r>
      <w:r>
        <w:rPr>
          <w:rFonts w:cs="Times New Roman"/>
          <w:sz w:val="16"/>
          <w:szCs w:val="16"/>
        </w:rPr>
        <w:t xml:space="preserve">аспорт, экз.               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1 шт</w:t>
      </w:r>
      <w:r>
        <w:rPr>
          <w:rFonts w:cs="Times New Roman"/>
          <w:sz w:val="16"/>
          <w:szCs w:val="16"/>
        </w:rPr>
        <w:t>.</w:t>
      </w:r>
    </w:p>
    <w:p w:rsidR="00D42C3D" w:rsidRPr="00802DCE" w:rsidRDefault="00D42C3D" w:rsidP="00BC6BDC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- декоративная крышка слива                                                                                                                                                 1 шт. </w:t>
      </w:r>
    </w:p>
    <w:p w:rsidR="00BC6BDC" w:rsidRPr="00802DCE" w:rsidRDefault="00BC6BDC" w:rsidP="00BC6BDC">
      <w:pPr>
        <w:pStyle w:val="Standard"/>
        <w:rPr>
          <w:rFonts w:cs="Times New Roman"/>
          <w:sz w:val="16"/>
          <w:szCs w:val="16"/>
        </w:rPr>
      </w:pPr>
    </w:p>
    <w:p w:rsidR="00D42C3D" w:rsidRPr="00D42C3D" w:rsidRDefault="00D42C3D" w:rsidP="00D42C3D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D42C3D">
        <w:rPr>
          <w:rFonts w:cs="Times New Roman"/>
          <w:b/>
          <w:bCs/>
          <w:sz w:val="16"/>
          <w:szCs w:val="16"/>
        </w:rPr>
        <w:t>4. МОНТАЖ ДУШЕВОГО ПОДДОНА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Монтаж душевого поддона достаточно прост и не требует дополнительной квалификации рабочих.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 xml:space="preserve">4.1. Для монтажа поддона необходимо изготовить специальный каркас. В качестве материала каркаса может использоваться </w:t>
      </w:r>
      <w:proofErr w:type="spellStart"/>
      <w:r w:rsidRPr="00D42C3D">
        <w:rPr>
          <w:rFonts w:cs="Times New Roman"/>
          <w:bCs/>
          <w:sz w:val="16"/>
          <w:szCs w:val="16"/>
        </w:rPr>
        <w:t>металопрофиль</w:t>
      </w:r>
      <w:proofErr w:type="spellEnd"/>
      <w:r w:rsidRPr="00D42C3D">
        <w:rPr>
          <w:rFonts w:cs="Times New Roman"/>
          <w:bCs/>
          <w:sz w:val="16"/>
          <w:szCs w:val="16"/>
        </w:rPr>
        <w:t>, кирпич или газосиликатные блоки. При изготовлении каркаса необходимо обеспечить для подсоединения сифона. Внимание! При установке поддона на каркас необходимо, что бы днище поддона лежало на жестком основании, исключающем любую деформацию.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4.2. Установить сифон и подсоединить его к канализации.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4.3. Закрепить поддон на каркасе, обеспечив герметичность стыков с помощью силикона или монтажной пены.</w:t>
      </w:r>
    </w:p>
    <w:p w:rsidR="00D42C3D" w:rsidRPr="00D42C3D" w:rsidRDefault="00D42C3D" w:rsidP="00D42C3D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D42C3D">
        <w:rPr>
          <w:rFonts w:cs="Times New Roman"/>
          <w:b/>
          <w:bCs/>
          <w:sz w:val="16"/>
          <w:szCs w:val="16"/>
        </w:rPr>
        <w:t>5. УКАЗАНИЯ ПО ЭКСПЛУАТАЦИИ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5.1. Проверить комплектность при приемке поддона и вводе его в эксплуатацию.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5.2. Проверить поддон на работоспособность.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5.3. После принятия душа удалить загрязнения с рабочей поверхности поддона струей воды. При чистке поверхности поддона рекомендуется применять универсальные пасты. Категорически запрещается применение для чистки поддона песка, пемзы, металлических щеток и других предметов, которые могут разрушить покрытие.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 xml:space="preserve">5.4. Запрещается </w:t>
      </w:r>
      <w:proofErr w:type="gramStart"/>
      <w:r w:rsidRPr="00D42C3D">
        <w:rPr>
          <w:rFonts w:cs="Times New Roman"/>
          <w:bCs/>
          <w:sz w:val="16"/>
          <w:szCs w:val="16"/>
        </w:rPr>
        <w:t>наносить  удары</w:t>
      </w:r>
      <w:proofErr w:type="gramEnd"/>
      <w:r w:rsidRPr="00D42C3D">
        <w:rPr>
          <w:rFonts w:cs="Times New Roman"/>
          <w:bCs/>
          <w:sz w:val="16"/>
          <w:szCs w:val="16"/>
        </w:rPr>
        <w:t xml:space="preserve"> металлическими предметами и удалять пятна при помощи острых и режущих предметов, во избежание повреждения покрытия. 5.5. Запрещается наливать в чашу агрессивные жидкости (растворы щелочей и кислот).</w:t>
      </w:r>
    </w:p>
    <w:p w:rsidR="00D42C3D" w:rsidRPr="00D42C3D" w:rsidRDefault="00D42C3D" w:rsidP="00D42C3D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D42C3D">
        <w:rPr>
          <w:rFonts w:cs="Times New Roman"/>
          <w:b/>
          <w:bCs/>
          <w:sz w:val="16"/>
          <w:szCs w:val="16"/>
        </w:rPr>
        <w:t>6. ТРАНСПОРТИРОВАНИЕ И ХРАНЕНИЕ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6.1. Транспортирование и хранение по ТУ 23.42.10-001-10405583-2018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6.2. Небрежное отношение к поддону может являться причиной образования трещин, всевозможных царапин, потертостей и сколов.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6.3. Транспортирование поддона следует производить крытым транспортом любого вида. При погрузке, выгрузке и транспортировании поддон должен быть предохранен от механических повреждений (ударов, падений и т.п.)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 xml:space="preserve">6.4. Поддон должен храниться в закрытом помещении, или под навесом, исключающим </w:t>
      </w:r>
      <w:proofErr w:type="gramStart"/>
      <w:r w:rsidRPr="00D42C3D">
        <w:rPr>
          <w:rFonts w:cs="Times New Roman"/>
          <w:bCs/>
          <w:sz w:val="16"/>
          <w:szCs w:val="16"/>
        </w:rPr>
        <w:t>возможность  попадания</w:t>
      </w:r>
      <w:proofErr w:type="gramEnd"/>
      <w:r w:rsidRPr="00D42C3D">
        <w:rPr>
          <w:rFonts w:cs="Times New Roman"/>
          <w:bCs/>
          <w:sz w:val="16"/>
          <w:szCs w:val="16"/>
        </w:rPr>
        <w:t xml:space="preserve"> на него атмосферных осадков, пыли, грязи,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(снега, дождя, прямых солнечных лучей).</w:t>
      </w:r>
    </w:p>
    <w:p w:rsidR="00D42C3D" w:rsidRPr="00D42C3D" w:rsidRDefault="00D42C3D" w:rsidP="00D42C3D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D42C3D">
        <w:rPr>
          <w:rFonts w:cs="Times New Roman"/>
          <w:b/>
          <w:bCs/>
          <w:sz w:val="16"/>
          <w:szCs w:val="16"/>
        </w:rPr>
        <w:t>7. ГАРАНИИ ИЗГОТОВИТЕЛЯ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>7.1. Официальный срок службы поддона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 xml:space="preserve">7.2. Предприятие изготовитель гарантирует соответствие поддонов требованиям </w:t>
      </w:r>
      <w:proofErr w:type="gramStart"/>
      <w:r w:rsidRPr="00D42C3D">
        <w:rPr>
          <w:rFonts w:cs="Times New Roman"/>
          <w:bCs/>
          <w:sz w:val="16"/>
          <w:szCs w:val="16"/>
        </w:rPr>
        <w:t>ТУ  при</w:t>
      </w:r>
      <w:proofErr w:type="gramEnd"/>
      <w:r w:rsidRPr="00D42C3D">
        <w:rPr>
          <w:rFonts w:cs="Times New Roman"/>
          <w:bCs/>
          <w:sz w:val="16"/>
          <w:szCs w:val="16"/>
        </w:rPr>
        <w:t xml:space="preserve"> соблюдении условий транспортирования, хранения и эксплуатации.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 xml:space="preserve">7.3. Гарантийный срок эксплуатации поддонов 5 лет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потребительских свойств, пломб, ярлыков, товарного или кассового </w:t>
      </w:r>
      <w:proofErr w:type="gramStart"/>
      <w:r w:rsidRPr="00D42C3D">
        <w:rPr>
          <w:rFonts w:cs="Times New Roman"/>
          <w:bCs/>
          <w:sz w:val="16"/>
          <w:szCs w:val="16"/>
        </w:rPr>
        <w:t>чека</w:t>
      </w:r>
      <w:proofErr w:type="gramEnd"/>
      <w:r w:rsidRPr="00D42C3D">
        <w:rPr>
          <w:rFonts w:cs="Times New Roman"/>
          <w:bCs/>
          <w:sz w:val="16"/>
          <w:szCs w:val="16"/>
        </w:rPr>
        <w:t xml:space="preserve"> или других документов, выданных покупателю продавцом вместе с проданным товаром.</w:t>
      </w:r>
    </w:p>
    <w:p w:rsidR="00D42C3D" w:rsidRPr="00D42C3D" w:rsidRDefault="00D42C3D" w:rsidP="00D42C3D">
      <w:pPr>
        <w:pStyle w:val="Standard"/>
        <w:rPr>
          <w:rFonts w:cs="Times New Roman"/>
          <w:bCs/>
          <w:sz w:val="16"/>
          <w:szCs w:val="16"/>
        </w:rPr>
      </w:pPr>
      <w:r w:rsidRPr="00D42C3D">
        <w:rPr>
          <w:rFonts w:cs="Times New Roman"/>
          <w:bCs/>
          <w:sz w:val="16"/>
          <w:szCs w:val="16"/>
        </w:rPr>
        <w:t xml:space="preserve">7.4. Изготовитель не производит замену и гарантийное обслуживание изделия, в случае, если недостатки качества товара возникли вследствие нарушения потребителем вышеуказанных </w:t>
      </w:r>
      <w:proofErr w:type="gramStart"/>
      <w:r w:rsidRPr="00D42C3D">
        <w:rPr>
          <w:rFonts w:cs="Times New Roman"/>
          <w:bCs/>
          <w:sz w:val="16"/>
          <w:szCs w:val="16"/>
        </w:rPr>
        <w:t>правил  транспортировки</w:t>
      </w:r>
      <w:proofErr w:type="gramEnd"/>
      <w:r w:rsidRPr="00D42C3D">
        <w:rPr>
          <w:rFonts w:cs="Times New Roman"/>
          <w:bCs/>
          <w:sz w:val="16"/>
          <w:szCs w:val="16"/>
        </w:rPr>
        <w:t>, эксплуатации хранения товара (нарушение пунктов раздела 5, пунктов 6.3; 6.4 раздела 6 настоящего паспорта). 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:rsidR="00D42C3D" w:rsidRDefault="00D42C3D" w:rsidP="00D42C3D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D42C3D" w:rsidRDefault="00D42C3D" w:rsidP="00D42C3D">
      <w:pPr>
        <w:pStyle w:val="Standard"/>
        <w:rPr>
          <w:rFonts w:cs="Times New Roman"/>
          <w:b/>
          <w:bCs/>
          <w:sz w:val="16"/>
          <w:szCs w:val="16"/>
        </w:rPr>
      </w:pPr>
    </w:p>
    <w:p w:rsidR="00D42C3D" w:rsidRPr="009675C5" w:rsidRDefault="00D42C3D" w:rsidP="00D42C3D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</w:p>
    <w:p w:rsidR="00D42C3D" w:rsidRPr="009675C5" w:rsidRDefault="00D42C3D" w:rsidP="00D42C3D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</w:p>
    <w:p w:rsidR="00CF6540" w:rsidRPr="00D42C3D" w:rsidRDefault="00BC6BDC" w:rsidP="00D42C3D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t>CAPRI</w:t>
      </w:r>
    </w:p>
    <w:p w:rsidR="00FB16C2" w:rsidRDefault="00F518D9" w:rsidP="00D42C3D">
      <w:pPr>
        <w:pStyle w:val="Standard"/>
        <w:rPr>
          <w:b/>
          <w:color w:val="002060"/>
          <w:sz w:val="36"/>
          <w:szCs w:val="36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:rsidR="00A57A5E" w:rsidRDefault="00A57A5E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7EF6FF9A" wp14:editId="64B8A610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2365D538" wp14:editId="14B19239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59" cy="1010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8D7" w:rsidRDefault="008918D7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CB7164" w:rsidRDefault="00CB7164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CB7164" w:rsidRDefault="009675C5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  <w:r>
        <w:rPr>
          <w:b/>
          <w:noProof/>
          <w:color w:val="002060"/>
          <w:sz w:val="36"/>
          <w:szCs w:val="36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8pt;height:410.1pt">
            <v:imagedata r:id="rId9" o:title="Cherteg_CAPRI_2"/>
          </v:shape>
        </w:pict>
      </w:r>
    </w:p>
    <w:p w:rsidR="00DE7C03" w:rsidRDefault="00DE7C03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DE7C03" w:rsidRDefault="00DE7C03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4A7672" w:rsidRDefault="004A7672" w:rsidP="00EA1977">
      <w:pPr>
        <w:rPr>
          <w:b/>
          <w:noProof/>
          <w:color w:val="002060"/>
          <w:sz w:val="36"/>
          <w:szCs w:val="36"/>
          <w:lang w:bidi="ar-SA"/>
        </w:rPr>
      </w:pPr>
    </w:p>
    <w:p w:rsidR="00BC6BDC" w:rsidRDefault="00BC6BDC" w:rsidP="00EA1977">
      <w:pPr>
        <w:rPr>
          <w:sz w:val="40"/>
          <w:szCs w:val="16"/>
        </w:rPr>
      </w:pPr>
    </w:p>
    <w:p w:rsidR="00BC6BDC" w:rsidRDefault="00BC6BDC" w:rsidP="00EA1977">
      <w:pPr>
        <w:rPr>
          <w:sz w:val="40"/>
          <w:szCs w:val="16"/>
        </w:rPr>
      </w:pPr>
    </w:p>
    <w:p w:rsidR="00BC6BDC" w:rsidRDefault="00BC6BDC" w:rsidP="00EA1977">
      <w:pPr>
        <w:rPr>
          <w:sz w:val="40"/>
          <w:szCs w:val="16"/>
        </w:rPr>
      </w:pPr>
    </w:p>
    <w:p w:rsidR="00EA1977" w:rsidRDefault="005A4C6F" w:rsidP="00EA1977">
      <w:pPr>
        <w:rPr>
          <w:sz w:val="40"/>
          <w:szCs w:val="16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8480" behindDoc="1" locked="0" layoutInCell="1" allowOverlap="1" wp14:anchorId="3BE1D87C" wp14:editId="623ADF64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 w:rsidRPr="00A33328">
        <w:rPr>
          <w:sz w:val="40"/>
          <w:szCs w:val="16"/>
        </w:rPr>
        <w:t>Заполняется производителем</w:t>
      </w:r>
    </w:p>
    <w:p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:rsidTr="005A4C6F">
        <w:trPr>
          <w:trHeight w:val="48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:rsidR="00EA1977" w:rsidRPr="008E0DDC" w:rsidRDefault="008E0DDC" w:rsidP="008E0D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«САЛИНИ»</w:t>
            </w:r>
          </w:p>
        </w:tc>
      </w:tr>
      <w:tr w:rsidR="00EA1977" w:rsidTr="005A4C6F">
        <w:trPr>
          <w:trHeight w:val="419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:rsidR="00EA1977" w:rsidRDefault="008E0DDC" w:rsidP="003033CA">
            <w:pPr>
              <w:rPr>
                <w:sz w:val="16"/>
                <w:szCs w:val="16"/>
                <w:lang w:val="en-US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 w:rsidR="00BC6BDC">
              <w:rPr>
                <w:iCs/>
                <w:color w:val="000000"/>
                <w:sz w:val="16"/>
                <w:szCs w:val="16"/>
                <w:lang w:val="en-US" w:bidi="ar-SA"/>
              </w:rPr>
              <w:t>CAPRI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  <w:r w:rsidR="003033CA">
              <w:rPr>
                <w:color w:val="000000"/>
                <w:sz w:val="16"/>
                <w:szCs w:val="16"/>
                <w:lang w:bidi="ar-SA"/>
              </w:rPr>
              <w:t xml:space="preserve">  (</w:t>
            </w:r>
            <w:r w:rsidR="00BC6BDC">
              <w:rPr>
                <w:color w:val="000000"/>
                <w:sz w:val="16"/>
                <w:szCs w:val="16"/>
                <w:lang w:val="en-US" w:bidi="ar-SA"/>
              </w:rPr>
              <w:t>12012101</w:t>
            </w:r>
            <w:r>
              <w:rPr>
                <w:color w:val="000000"/>
                <w:sz w:val="16"/>
                <w:szCs w:val="16"/>
                <w:lang w:bidi="ar-SA"/>
              </w:rPr>
              <w:t>)</w:t>
            </w:r>
          </w:p>
        </w:tc>
      </w:tr>
      <w:tr w:rsidR="00EA1977" w:rsidTr="005A4C6F">
        <w:trPr>
          <w:trHeight w:val="41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:rsidTr="005A4C6F">
        <w:trPr>
          <w:trHeight w:val="421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:rsidR="00EA1977" w:rsidRPr="004A7672" w:rsidRDefault="00EA1977" w:rsidP="004A7672">
            <w:pPr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:rsidTr="005A4C6F">
        <w:trPr>
          <w:trHeight w:val="361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:rsidTr="005A4C6F">
        <w:trPr>
          <w:trHeight w:val="423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28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07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:rsidR="00EA1977" w:rsidRPr="004160D9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:rsidR="00EA1977" w:rsidRDefault="00EA1977" w:rsidP="00EA1977">
      <w:pPr>
        <w:rPr>
          <w:sz w:val="40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3FE02CDB" wp14:editId="1625AD05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:rsidR="00EA1977" w:rsidRDefault="00EA1977" w:rsidP="00EA1977">
      <w:pPr>
        <w:rPr>
          <w:sz w:val="20"/>
          <w:szCs w:val="28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:rsidR="00EA1977" w:rsidRDefault="00EA1977" w:rsidP="00EA1977">
      <w:pPr>
        <w:rPr>
          <w:sz w:val="20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r>
        <w:rPr>
          <w:sz w:val="20"/>
          <w:szCs w:val="20"/>
        </w:rPr>
        <w:t xml:space="preserve">доверенного </w:t>
      </w:r>
      <w:proofErr w:type="gramStart"/>
      <w:r>
        <w:rPr>
          <w:sz w:val="20"/>
          <w:szCs w:val="20"/>
        </w:rPr>
        <w:t xml:space="preserve">лица)   </w:t>
      </w:r>
      <w:proofErr w:type="gramEnd"/>
      <w:r>
        <w:rPr>
          <w:sz w:val="20"/>
          <w:szCs w:val="20"/>
        </w:rPr>
        <w:t xml:space="preserve">                                                                           Подпись,</w:t>
      </w:r>
      <w:r w:rsidR="00D42C3D">
        <w:rPr>
          <w:sz w:val="20"/>
          <w:szCs w:val="20"/>
        </w:rPr>
        <w:t xml:space="preserve"> </w:t>
      </w:r>
      <w:r>
        <w:rPr>
          <w:sz w:val="20"/>
          <w:szCs w:val="20"/>
        </w:rPr>
        <w:t>ФИО</w:t>
      </w:r>
    </w:p>
    <w:p w:rsidR="00EA1977" w:rsidRDefault="00EA1977" w:rsidP="00EA1977">
      <w:pPr>
        <w:rPr>
          <w:sz w:val="20"/>
          <w:szCs w:val="20"/>
        </w:rPr>
      </w:pPr>
    </w:p>
    <w:p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34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9311" w:type="dxa"/>
            <w:gridSpan w:val="4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устранения</w:t>
            </w:r>
          </w:p>
        </w:tc>
        <w:tc>
          <w:tcPr>
            <w:tcW w:w="3936" w:type="dxa"/>
            <w:gridSpan w:val="2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клиента</w:t>
            </w: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82" w:rsidRDefault="00875C82" w:rsidP="00234E18">
      <w:r>
        <w:separator/>
      </w:r>
    </w:p>
  </w:endnote>
  <w:endnote w:type="continuationSeparator" w:id="0">
    <w:p w:rsidR="00875C82" w:rsidRDefault="00875C82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82" w:rsidRDefault="00875C82" w:rsidP="00234E18">
      <w:r>
        <w:separator/>
      </w:r>
    </w:p>
  </w:footnote>
  <w:footnote w:type="continuationSeparator" w:id="0">
    <w:p w:rsidR="00875C82" w:rsidRDefault="00875C82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1B0D9E"/>
    <w:rsid w:val="002271CE"/>
    <w:rsid w:val="00234E18"/>
    <w:rsid w:val="002D17C7"/>
    <w:rsid w:val="002D5673"/>
    <w:rsid w:val="003033CA"/>
    <w:rsid w:val="00316B06"/>
    <w:rsid w:val="00350DAC"/>
    <w:rsid w:val="00366049"/>
    <w:rsid w:val="0040377D"/>
    <w:rsid w:val="00476088"/>
    <w:rsid w:val="0049467D"/>
    <w:rsid w:val="004A5B8B"/>
    <w:rsid w:val="004A7672"/>
    <w:rsid w:val="004E4F7D"/>
    <w:rsid w:val="00517830"/>
    <w:rsid w:val="005642A2"/>
    <w:rsid w:val="005A4C6F"/>
    <w:rsid w:val="005C5129"/>
    <w:rsid w:val="005F2B21"/>
    <w:rsid w:val="006274B9"/>
    <w:rsid w:val="006334E7"/>
    <w:rsid w:val="0073102C"/>
    <w:rsid w:val="0079041D"/>
    <w:rsid w:val="007B3D51"/>
    <w:rsid w:val="007B4D6F"/>
    <w:rsid w:val="007E054D"/>
    <w:rsid w:val="00806C17"/>
    <w:rsid w:val="00823577"/>
    <w:rsid w:val="00855CAC"/>
    <w:rsid w:val="00875C82"/>
    <w:rsid w:val="00880825"/>
    <w:rsid w:val="008918D7"/>
    <w:rsid w:val="008E0DDC"/>
    <w:rsid w:val="008F4CE3"/>
    <w:rsid w:val="008F77E1"/>
    <w:rsid w:val="0090397F"/>
    <w:rsid w:val="009675C5"/>
    <w:rsid w:val="00970426"/>
    <w:rsid w:val="009A2B24"/>
    <w:rsid w:val="009B7611"/>
    <w:rsid w:val="00A57A5E"/>
    <w:rsid w:val="00A92D62"/>
    <w:rsid w:val="00B067B5"/>
    <w:rsid w:val="00B6664C"/>
    <w:rsid w:val="00B8271E"/>
    <w:rsid w:val="00B84A30"/>
    <w:rsid w:val="00B96BD0"/>
    <w:rsid w:val="00BC29F5"/>
    <w:rsid w:val="00BC6BDC"/>
    <w:rsid w:val="00BC7F74"/>
    <w:rsid w:val="00BD1E10"/>
    <w:rsid w:val="00BD6414"/>
    <w:rsid w:val="00BF3A3F"/>
    <w:rsid w:val="00C171CA"/>
    <w:rsid w:val="00C343CA"/>
    <w:rsid w:val="00C87A36"/>
    <w:rsid w:val="00CB4A3B"/>
    <w:rsid w:val="00CB7164"/>
    <w:rsid w:val="00CF3A31"/>
    <w:rsid w:val="00CF43DD"/>
    <w:rsid w:val="00CF6540"/>
    <w:rsid w:val="00D42C3D"/>
    <w:rsid w:val="00D504EE"/>
    <w:rsid w:val="00D535EF"/>
    <w:rsid w:val="00DB6B42"/>
    <w:rsid w:val="00DE7C03"/>
    <w:rsid w:val="00E077D9"/>
    <w:rsid w:val="00E33B7F"/>
    <w:rsid w:val="00EA1977"/>
    <w:rsid w:val="00F518D9"/>
    <w:rsid w:val="00FA1546"/>
    <w:rsid w:val="00FB16C2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78FB-B1A5-47CA-A976-439E8A8B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Salini</cp:lastModifiedBy>
  <cp:revision>5</cp:revision>
  <cp:lastPrinted>2019-04-16T07:41:00Z</cp:lastPrinted>
  <dcterms:created xsi:type="dcterms:W3CDTF">2020-02-07T10:15:00Z</dcterms:created>
  <dcterms:modified xsi:type="dcterms:W3CDTF">2020-03-17T11:42:00Z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